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A54A1D" w14:paraId="282406C3" w14:textId="77777777">
        <w:tc>
          <w:tcPr>
            <w:tcW w:w="4536" w:type="dxa"/>
            <w:shd w:val="clear" w:color="auto" w:fill="auto"/>
          </w:tcPr>
          <w:p w14:paraId="6743DD0B" w14:textId="0203B2F4" w:rsidR="00A54A1D" w:rsidRDefault="00A54A1D">
            <w:pPr>
              <w:pStyle w:val="Zawartotabeli"/>
            </w:pPr>
          </w:p>
        </w:tc>
        <w:tc>
          <w:tcPr>
            <w:tcW w:w="4535" w:type="dxa"/>
            <w:shd w:val="clear" w:color="auto" w:fill="auto"/>
          </w:tcPr>
          <w:p w14:paraId="3183CB89" w14:textId="5D648677" w:rsidR="00A54A1D" w:rsidRDefault="0018752B">
            <w:pPr>
              <w:jc w:val="right"/>
            </w:pPr>
            <w:r>
              <w:t>Warsaw, 26 November 2019</w:t>
            </w:r>
          </w:p>
        </w:tc>
      </w:tr>
    </w:tbl>
    <w:p w14:paraId="01AF73C2" w14:textId="77777777" w:rsidR="00A54A1D" w:rsidRDefault="00A54A1D">
      <w:pPr>
        <w:rPr>
          <w:sz w:val="36"/>
        </w:rPr>
      </w:pPr>
    </w:p>
    <w:p w14:paraId="42F88AB4" w14:textId="70D4F015" w:rsidR="00A54A1D" w:rsidRDefault="0018752B">
      <w:pPr>
        <w:jc w:val="center"/>
        <w:rPr>
          <w:sz w:val="36"/>
        </w:rPr>
      </w:pPr>
      <w:r>
        <w:rPr>
          <w:sz w:val="36"/>
        </w:rPr>
        <w:t xml:space="preserve">REQUEST FOR </w:t>
      </w:r>
      <w:r w:rsidR="00BC2AD4">
        <w:rPr>
          <w:sz w:val="36"/>
        </w:rPr>
        <w:t>PROPOSAL</w:t>
      </w:r>
      <w:r>
        <w:rPr>
          <w:sz w:val="36"/>
        </w:rPr>
        <w:t xml:space="preserve"> NO. PAIH/001/MN/11/2019</w:t>
      </w:r>
    </w:p>
    <w:p w14:paraId="690F68F8" w14:textId="77777777" w:rsidR="00A54A1D" w:rsidRDefault="00A54A1D">
      <w:pPr>
        <w:jc w:val="center"/>
        <w:rPr>
          <w:sz w:val="36"/>
        </w:rPr>
      </w:pPr>
    </w:p>
    <w:p w14:paraId="338B7D01" w14:textId="7BC8B578" w:rsidR="00A54A1D" w:rsidRDefault="0018752B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 xml:space="preserve">Name and address of the </w:t>
      </w:r>
      <w:r w:rsidR="00BC2AD4">
        <w:rPr>
          <w:b/>
        </w:rPr>
        <w:t>Procurer</w:t>
      </w:r>
    </w:p>
    <w:p w14:paraId="6F974704" w14:textId="09476DA0" w:rsidR="00A54A1D" w:rsidRDefault="0018752B" w:rsidP="00BC2AD4">
      <w:pPr>
        <w:ind w:left="284"/>
      </w:pPr>
      <w:r>
        <w:t>Fluence sp. z o.o. with headquarters in Warsaw (01-224) at ul. Kasprzaka 44/52, VAT No.: 5272776154</w:t>
      </w:r>
      <w:bookmarkStart w:id="0" w:name="_GoBack"/>
      <w:bookmarkEnd w:id="0"/>
    </w:p>
    <w:p w14:paraId="53EE0232" w14:textId="77777777" w:rsidR="00A54A1D" w:rsidRDefault="0018752B">
      <w:pPr>
        <w:pStyle w:val="Akapitzlist"/>
        <w:numPr>
          <w:ilvl w:val="0"/>
          <w:numId w:val="12"/>
        </w:numPr>
      </w:pPr>
      <w:r>
        <w:rPr>
          <w:rFonts w:cs="Arial"/>
          <w:b/>
        </w:rPr>
        <w:t>Subject of the order</w:t>
      </w:r>
    </w:p>
    <w:p w14:paraId="10C3AE95" w14:textId="55287F77" w:rsidR="00A54A1D" w:rsidRDefault="0018752B">
      <w:pPr>
        <w:ind w:left="284"/>
        <w:jc w:val="both"/>
      </w:pPr>
      <w:r>
        <w:t>The Subject of the order co</w:t>
      </w:r>
      <w:r w:rsidR="00BC2AD4">
        <w:t>mprises</w:t>
      </w:r>
      <w:r>
        <w:t xml:space="preserve"> </w:t>
      </w:r>
      <w:r w:rsidR="006F4601">
        <w:t xml:space="preserve">consulting </w:t>
      </w:r>
      <w:r>
        <w:t>service</w:t>
      </w:r>
      <w:r w:rsidR="006F4601">
        <w:t>s</w:t>
      </w:r>
      <w:r>
        <w:t xml:space="preserve"> regarding introduction of femtosecond lasers </w:t>
      </w:r>
      <w:r w:rsidR="00BC2AD4">
        <w:t>manufactured</w:t>
      </w:r>
      <w:r>
        <w:t xml:space="preserve"> by the </w:t>
      </w:r>
      <w:r w:rsidR="00BC2AD4">
        <w:rPr>
          <w:bCs/>
        </w:rPr>
        <w:t>Procurer</w:t>
      </w:r>
      <w:r>
        <w:t xml:space="preserve"> </w:t>
      </w:r>
      <w:r w:rsidR="006F4601">
        <w:rPr>
          <w:b/>
        </w:rPr>
        <w:t>to</w:t>
      </w:r>
      <w:r>
        <w:rPr>
          <w:b/>
        </w:rPr>
        <w:t xml:space="preserve"> the Japanese market</w:t>
      </w:r>
      <w:r>
        <w:t xml:space="preserve">. </w:t>
      </w:r>
      <w:r w:rsidR="00BC2AD4">
        <w:t>C</w:t>
      </w:r>
      <w:r>
        <w:t>urrent laser offer</w:t>
      </w:r>
      <w:r w:rsidR="00BC2AD4">
        <w:t xml:space="preserve"> of the Procurer</w:t>
      </w:r>
      <w:r>
        <w:t xml:space="preserve"> </w:t>
      </w:r>
      <w:r w:rsidR="00BC2AD4">
        <w:t>may</w:t>
      </w:r>
      <w:r>
        <w:t xml:space="preserve"> be viewed at: </w:t>
      </w:r>
      <w:hyperlink r:id="rId8" w:history="1">
        <w:r>
          <w:rPr>
            <w:rStyle w:val="Hipercze"/>
          </w:rPr>
          <w:t>https://www.fluence.pl</w:t>
        </w:r>
      </w:hyperlink>
      <w:r>
        <w:t xml:space="preserve">. </w:t>
      </w:r>
      <w:r w:rsidR="00BC2AD4">
        <w:t>The offered s</w:t>
      </w:r>
      <w:r w:rsidR="006F4601">
        <w:t xml:space="preserve">ervices should </w:t>
      </w:r>
      <w:r>
        <w:t>cover the following:</w:t>
      </w:r>
    </w:p>
    <w:p w14:paraId="6783D2AD" w14:textId="6E19A0E9" w:rsidR="00A54A1D" w:rsidRDefault="0018752B">
      <w:pPr>
        <w:ind w:left="284"/>
        <w:jc w:val="both"/>
      </w:pPr>
      <w:r>
        <w:t xml:space="preserve">- </w:t>
      </w:r>
      <w:r w:rsidR="00BC2AD4">
        <w:t>consulting service</w:t>
      </w:r>
      <w:r>
        <w:t xml:space="preserve"> on designing catalogues and technical descriptions for products intended for the Japanese market</w:t>
      </w:r>
      <w:r w:rsidR="004E7425">
        <w:t>,</w:t>
      </w:r>
    </w:p>
    <w:p w14:paraId="18798C99" w14:textId="5D7E8CB4" w:rsidR="00A54A1D" w:rsidRDefault="0018752B">
      <w:pPr>
        <w:ind w:left="284"/>
        <w:jc w:val="both"/>
      </w:pPr>
      <w:r>
        <w:t xml:space="preserve">- </w:t>
      </w:r>
      <w:r w:rsidR="004E7425">
        <w:t>consulting service</w:t>
      </w:r>
      <w:r>
        <w:t xml:space="preserve"> on the technical verification of documents intended for the Japanese market</w:t>
      </w:r>
      <w:r w:rsidR="004E7425">
        <w:t>,</w:t>
      </w:r>
    </w:p>
    <w:p w14:paraId="4D5493D8" w14:textId="66071456" w:rsidR="00A54A1D" w:rsidRDefault="0018752B">
      <w:pPr>
        <w:ind w:left="284"/>
        <w:jc w:val="both"/>
      </w:pPr>
      <w:r>
        <w:t xml:space="preserve">- </w:t>
      </w:r>
      <w:r w:rsidR="004E7425">
        <w:t>consulting service</w:t>
      </w:r>
      <w:r>
        <w:t xml:space="preserve"> on the preparation of the </w:t>
      </w:r>
      <w:r w:rsidR="004E7425">
        <w:t>Procurer</w:t>
      </w:r>
      <w:r>
        <w:t xml:space="preserve">'s products for certification </w:t>
      </w:r>
      <w:r w:rsidR="004E7425">
        <w:t xml:space="preserve">required </w:t>
      </w:r>
      <w:r>
        <w:t>in Japan</w:t>
      </w:r>
      <w:r w:rsidR="004E7425">
        <w:t>.</w:t>
      </w:r>
    </w:p>
    <w:p w14:paraId="2DB69EB8" w14:textId="12406D30" w:rsidR="00A54A1D" w:rsidRDefault="0018752B">
      <w:pPr>
        <w:ind w:left="284"/>
        <w:jc w:val="both"/>
      </w:pPr>
      <w:r>
        <w:t xml:space="preserve">The above services will be provided by the bidder to the </w:t>
      </w:r>
      <w:r w:rsidR="004E7425">
        <w:t>Procurer</w:t>
      </w:r>
      <w:r>
        <w:t xml:space="preserve"> to the extent and quantity indicated by the </w:t>
      </w:r>
      <w:r w:rsidR="004E7425">
        <w:t>Bidder</w:t>
      </w:r>
      <w:r>
        <w:t xml:space="preserve"> </w:t>
      </w:r>
      <w:r w:rsidR="004E7425">
        <w:t xml:space="preserve">with remuneration </w:t>
      </w:r>
      <w:r>
        <w:t>bas</w:t>
      </w:r>
      <w:r w:rsidR="004E7425">
        <w:t>ed</w:t>
      </w:r>
      <w:r>
        <w:t xml:space="preserve"> o</w:t>
      </w:r>
      <w:r w:rsidR="004E7425">
        <w:t>n</w:t>
      </w:r>
      <w:r>
        <w:t xml:space="preserve"> the hourly rate offered within these proceedings.</w:t>
      </w:r>
    </w:p>
    <w:p w14:paraId="5863FA5C" w14:textId="79027139" w:rsidR="00A54A1D" w:rsidRDefault="0018752B" w:rsidP="004E7425">
      <w:pPr>
        <w:ind w:left="284"/>
        <w:jc w:val="both"/>
      </w:pPr>
      <w:r>
        <w:t xml:space="preserve">Code </w:t>
      </w:r>
      <w:r w:rsidR="004E7425">
        <w:t xml:space="preserve">of the service </w:t>
      </w:r>
      <w:r>
        <w:t>according to the Common Procurement Vocabulary (CPV):</w:t>
      </w:r>
      <w:r w:rsidR="004E7425">
        <w:t xml:space="preserve"> </w:t>
      </w:r>
      <w:r>
        <w:t>79400000-8 -Business and management consultancy and related services.</w:t>
      </w:r>
    </w:p>
    <w:p w14:paraId="7507F4C1" w14:textId="7AAE2704" w:rsidR="00A54A1D" w:rsidRDefault="0018752B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>Contract execution deadline</w:t>
      </w:r>
    </w:p>
    <w:p w14:paraId="178ED468" w14:textId="35CCFE8F" w:rsidR="00A54A1D" w:rsidRDefault="0018752B">
      <w:pPr>
        <w:ind w:left="360"/>
        <w:jc w:val="both"/>
      </w:pPr>
      <w:r>
        <w:t>The services should be provided by 30 June 2020</w:t>
      </w:r>
    </w:p>
    <w:p w14:paraId="009AAFF3" w14:textId="6AFF20D0" w:rsidR="00A54A1D" w:rsidRDefault="0018752B">
      <w:pPr>
        <w:pStyle w:val="Akapitzlist"/>
        <w:numPr>
          <w:ilvl w:val="0"/>
          <w:numId w:val="12"/>
        </w:num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t>Description of conditions for participation in the procedure:</w:t>
      </w:r>
    </w:p>
    <w:p w14:paraId="0225490F" w14:textId="1B17C5E8" w:rsidR="00A54A1D" w:rsidRDefault="0018752B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Bidders who meet the following conditions may participate in the proceedings:</w:t>
      </w:r>
    </w:p>
    <w:p w14:paraId="7A1003BC" w14:textId="77777777" w:rsidR="00A54A1D" w:rsidRDefault="00A54A1D">
      <w:pPr>
        <w:spacing w:after="0" w:line="240" w:lineRule="auto"/>
        <w:ind w:left="360"/>
        <w:jc w:val="both"/>
        <w:rPr>
          <w:rFonts w:cs="Calibri"/>
        </w:rPr>
      </w:pPr>
    </w:p>
    <w:p w14:paraId="3FADCBFE" w14:textId="1EF80E61" w:rsidR="00A54A1D" w:rsidRDefault="0018752B">
      <w:pPr>
        <w:pStyle w:val="Akapitzlist"/>
        <w:numPr>
          <w:ilvl w:val="0"/>
          <w:numId w:val="14"/>
        </w:numPr>
        <w:jc w:val="both"/>
      </w:pPr>
      <w:r>
        <w:t>have at least 2 years of experience in sales of</w:t>
      </w:r>
      <w:r w:rsidR="000E1E93" w:rsidRPr="000E1E93">
        <w:t xml:space="preserve"> </w:t>
      </w:r>
      <w:r>
        <w:t>laser</w:t>
      </w:r>
      <w:r w:rsidR="00C36D07">
        <w:t>s</w:t>
      </w:r>
      <w:r>
        <w:t xml:space="preserve">, photonic or related </w:t>
      </w:r>
      <w:r w:rsidR="00C36D07">
        <w:t>devices</w:t>
      </w:r>
      <w:r>
        <w:t xml:space="preserve"> on the Japanese market, which means</w:t>
      </w:r>
      <w:r w:rsidR="005F6D80">
        <w:t>:</w:t>
      </w:r>
      <w:r>
        <w:t xml:space="preserve"> </w:t>
      </w:r>
      <w:r w:rsidR="005F6D80">
        <w:t xml:space="preserve">have </w:t>
      </w:r>
      <w:r>
        <w:t xml:space="preserve">documented sales </w:t>
      </w:r>
      <w:r w:rsidR="005F6D80">
        <w:t>of such products within</w:t>
      </w:r>
      <w:r>
        <w:t xml:space="preserve"> the last 2 years on the Japanese </w:t>
      </w:r>
      <w:r w:rsidR="005F6D80">
        <w:t>market</w:t>
      </w:r>
      <w:r>
        <w:t>, OR</w:t>
      </w:r>
      <w:r w:rsidR="005F6D80">
        <w:t xml:space="preserve"> </w:t>
      </w:r>
      <w:r w:rsidR="000E1E93">
        <w:t xml:space="preserve">within the last 3 years </w:t>
      </w:r>
      <w:r w:rsidR="005F6D80">
        <w:t>have advised other companie</w:t>
      </w:r>
      <w:r w:rsidR="000E1E93">
        <w:t>s</w:t>
      </w:r>
      <w:r>
        <w:t xml:space="preserve"> in the scope of </w:t>
      </w:r>
      <w:r w:rsidR="000E1E93">
        <w:t>introducing</w:t>
      </w:r>
      <w:r>
        <w:t xml:space="preserve"> laser, photonic or related products </w:t>
      </w:r>
      <w:r w:rsidR="000E1E93">
        <w:t>to</w:t>
      </w:r>
      <w:r>
        <w:t xml:space="preserve"> the Japanese market</w:t>
      </w:r>
      <w:r w:rsidR="000E1E93">
        <w:t>,</w:t>
      </w:r>
    </w:p>
    <w:p w14:paraId="3D1D16C9" w14:textId="62A3C4AB" w:rsidR="00A54A1D" w:rsidRDefault="001875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SimSun" w:cs="Calibri"/>
        </w:rPr>
      </w:pPr>
      <w:r>
        <w:rPr>
          <w:rFonts w:eastAsia="SimSun" w:cs="Calibri"/>
        </w:rPr>
        <w:t xml:space="preserve">are not </w:t>
      </w:r>
      <w:r w:rsidR="00D8744C">
        <w:rPr>
          <w:rFonts w:eastAsia="SimSun" w:cs="Calibri"/>
        </w:rPr>
        <w:t>affiliated</w:t>
      </w:r>
      <w:r>
        <w:rPr>
          <w:rFonts w:eastAsia="SimSun" w:cs="Calibri"/>
        </w:rPr>
        <w:t xml:space="preserve"> </w:t>
      </w:r>
      <w:r w:rsidR="00D8744C">
        <w:rPr>
          <w:rFonts w:eastAsia="SimSun" w:cs="Calibri"/>
        </w:rPr>
        <w:t>with</w:t>
      </w:r>
      <w:r>
        <w:rPr>
          <w:rFonts w:eastAsia="SimSun" w:cs="Calibri"/>
        </w:rPr>
        <w:t xml:space="preserve"> capital or personally to the </w:t>
      </w:r>
      <w:r w:rsidR="000E1E93">
        <w:rPr>
          <w:rFonts w:eastAsia="SimSun" w:cs="Calibri"/>
        </w:rPr>
        <w:t>Procurer</w:t>
      </w:r>
      <w:r>
        <w:rPr>
          <w:rFonts w:eastAsia="SimSun" w:cs="Calibri"/>
        </w:rPr>
        <w:t xml:space="preserve">. Capital or personal </w:t>
      </w:r>
      <w:r w:rsidR="00D8744C">
        <w:rPr>
          <w:rFonts w:eastAsia="SimSun" w:cs="Calibri"/>
        </w:rPr>
        <w:t>affiliations</w:t>
      </w:r>
      <w:r>
        <w:rPr>
          <w:rFonts w:eastAsia="SimSun" w:cs="Calibri"/>
        </w:rPr>
        <w:t xml:space="preserve"> are understood as </w:t>
      </w:r>
      <w:r w:rsidR="00D8744C">
        <w:rPr>
          <w:rFonts w:eastAsia="SimSun" w:cs="Calibri"/>
        </w:rPr>
        <w:t>relations</w:t>
      </w:r>
      <w:r>
        <w:rPr>
          <w:rFonts w:eastAsia="SimSun" w:cs="Calibri"/>
        </w:rPr>
        <w:t xml:space="preserve"> between the bidder and the </w:t>
      </w:r>
      <w:r w:rsidR="000E1E93">
        <w:rPr>
          <w:rFonts w:eastAsia="SimSun" w:cs="Calibri"/>
        </w:rPr>
        <w:t xml:space="preserve">Procurer </w:t>
      </w:r>
      <w:r>
        <w:rPr>
          <w:rFonts w:eastAsia="SimSun" w:cs="Calibri"/>
        </w:rPr>
        <w:t xml:space="preserve">consisting in: </w:t>
      </w:r>
    </w:p>
    <w:p w14:paraId="1FFFEDDF" w14:textId="589482E1" w:rsidR="00A54A1D" w:rsidRDefault="0018752B">
      <w:pPr>
        <w:pStyle w:val="Akapitzlist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</w:rPr>
      </w:pPr>
      <w:r>
        <w:rPr>
          <w:rFonts w:eastAsia="SimSun" w:cs="Calibri"/>
        </w:rPr>
        <w:lastRenderedPageBreak/>
        <w:t xml:space="preserve">participating in a company as a partner in a civil </w:t>
      </w:r>
      <w:r w:rsidR="00D8744C">
        <w:rPr>
          <w:rFonts w:eastAsia="SimSun" w:cs="Calibri"/>
        </w:rPr>
        <w:t>law partnership</w:t>
      </w:r>
      <w:r>
        <w:rPr>
          <w:rFonts w:eastAsia="SimSun" w:cs="Calibri"/>
        </w:rPr>
        <w:t xml:space="preserve"> or in a partnership,</w:t>
      </w:r>
    </w:p>
    <w:p w14:paraId="39E7A049" w14:textId="77777777" w:rsidR="00A54A1D" w:rsidRDefault="0018752B">
      <w:pPr>
        <w:pStyle w:val="Akapitzlist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</w:rPr>
      </w:pPr>
      <w:r>
        <w:rPr>
          <w:rFonts w:eastAsia="SimSun" w:cs="Calibri"/>
        </w:rPr>
        <w:t xml:space="preserve">owning shares or at least 10% of stock; </w:t>
      </w:r>
    </w:p>
    <w:p w14:paraId="669FED8B" w14:textId="77777777" w:rsidR="00A54A1D" w:rsidRDefault="0018752B">
      <w:pPr>
        <w:pStyle w:val="Akapitzlist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</w:rPr>
      </w:pPr>
      <w:r>
        <w:rPr>
          <w:rFonts w:eastAsia="SimSun" w:cs="Calibri"/>
        </w:rPr>
        <w:t xml:space="preserve">holding the position of a member of the supervisory or management board, a proxy, an attorney; </w:t>
      </w:r>
    </w:p>
    <w:p w14:paraId="2A975591" w14:textId="3C6DD9CA" w:rsidR="00A54A1D" w:rsidRDefault="0018752B">
      <w:pPr>
        <w:pStyle w:val="Akapitzlist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</w:rPr>
      </w:pPr>
      <w:r>
        <w:rPr>
          <w:rFonts w:eastAsia="SimSun" w:cs="Calibri"/>
        </w:rPr>
        <w:t xml:space="preserve">being in such a legal or factual relationship which may raise reasonable doubts as to impartiality in the selection of the contractor, in particular being married, in a direct relationship of kinship or affinity, secondary relationship or affinity to the second degree, or in adoption , guardianship or custody. </w:t>
      </w:r>
    </w:p>
    <w:p w14:paraId="5D48E2E9" w14:textId="77777777" w:rsidR="00A54A1D" w:rsidRDefault="00A54A1D">
      <w:pPr>
        <w:pStyle w:val="Akapitzlist"/>
        <w:spacing w:after="0" w:line="240" w:lineRule="auto"/>
        <w:ind w:left="2160"/>
        <w:contextualSpacing w:val="0"/>
        <w:jc w:val="both"/>
        <w:rPr>
          <w:rFonts w:eastAsia="SimSun" w:cs="Calibri"/>
        </w:rPr>
      </w:pPr>
    </w:p>
    <w:p w14:paraId="7F0C914B" w14:textId="38752FD5" w:rsidR="00A54A1D" w:rsidRDefault="0018752B">
      <w:pPr>
        <w:pStyle w:val="Akapitzlist"/>
        <w:numPr>
          <w:ilvl w:val="0"/>
          <w:numId w:val="12"/>
        </w:num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t>Place and date of submitting the offer</w:t>
      </w:r>
    </w:p>
    <w:p w14:paraId="3D550B7B" w14:textId="7AAF55F9" w:rsidR="00A54A1D" w:rsidRDefault="0018752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Offers must be submitted by </w:t>
      </w:r>
      <w:r>
        <w:rPr>
          <w:rFonts w:cs="Calibri"/>
          <w:b/>
        </w:rPr>
        <w:t>4 December 2019 at 17:00 CET</w:t>
      </w:r>
      <w:r>
        <w:rPr>
          <w:rFonts w:cs="Calibri"/>
        </w:rPr>
        <w:t xml:space="preserve"> by email to the following address: </w:t>
      </w:r>
      <w:hyperlink r:id="rId9" w:history="1">
        <w:r>
          <w:rPr>
            <w:rStyle w:val="Hipercze"/>
            <w:rFonts w:cs="Calibri"/>
            <w:b/>
          </w:rPr>
          <w:t>oferty@fluence.pl</w:t>
        </w:r>
      </w:hyperlink>
      <w:r>
        <w:rPr>
          <w:rFonts w:cs="Calibri"/>
        </w:rPr>
        <w:t>.</w:t>
      </w:r>
    </w:p>
    <w:p w14:paraId="259603A5" w14:textId="77777777" w:rsidR="00A54A1D" w:rsidRDefault="00A54A1D">
      <w:pPr>
        <w:spacing w:after="0" w:line="240" w:lineRule="auto"/>
        <w:rPr>
          <w:rFonts w:cs="Calibri"/>
        </w:rPr>
      </w:pPr>
    </w:p>
    <w:p w14:paraId="61A61920" w14:textId="77777777" w:rsidR="00A54A1D" w:rsidRDefault="0018752B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Selection criteria and description of how they are calculated</w:t>
      </w:r>
    </w:p>
    <w:p w14:paraId="3C1ED6A3" w14:textId="77777777" w:rsidR="00A54A1D" w:rsidRDefault="00A54A1D">
      <w:pPr>
        <w:pStyle w:val="Akapitzlist"/>
        <w:spacing w:after="0" w:line="240" w:lineRule="auto"/>
        <w:ind w:left="357"/>
        <w:jc w:val="both"/>
        <w:rPr>
          <w:rFonts w:cs="Calibri"/>
          <w:b/>
        </w:rPr>
      </w:pPr>
    </w:p>
    <w:p w14:paraId="061D0848" w14:textId="77777777" w:rsidR="00A54A1D" w:rsidRDefault="0018752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maximum number of points is 100.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175"/>
        <w:gridCol w:w="1412"/>
        <w:gridCol w:w="3937"/>
      </w:tblGrid>
      <w:tr w:rsidR="00A54A1D" w14:paraId="7CA127F1" w14:textId="77777777">
        <w:tc>
          <w:tcPr>
            <w:tcW w:w="486" w:type="dxa"/>
            <w:shd w:val="clear" w:color="auto" w:fill="DDD9C3" w:themeFill="background2" w:themeFillShade="E6"/>
          </w:tcPr>
          <w:p w14:paraId="22D35633" w14:textId="77777777" w:rsidR="00A54A1D" w:rsidRDefault="001875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No.</w:t>
            </w:r>
          </w:p>
        </w:tc>
        <w:tc>
          <w:tcPr>
            <w:tcW w:w="3195" w:type="dxa"/>
            <w:shd w:val="clear" w:color="auto" w:fill="DDD9C3" w:themeFill="background2" w:themeFillShade="E6"/>
          </w:tcPr>
          <w:p w14:paraId="209EA42B" w14:textId="77777777" w:rsidR="00A54A1D" w:rsidRDefault="001875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Type offer evaluation criterion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10CBD99" w14:textId="77777777" w:rsidR="00A54A1D" w:rsidRDefault="001875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Scoring</w:t>
            </w:r>
          </w:p>
        </w:tc>
        <w:tc>
          <w:tcPr>
            <w:tcW w:w="3964" w:type="dxa"/>
            <w:shd w:val="clear" w:color="auto" w:fill="DDD9C3" w:themeFill="background2" w:themeFillShade="E6"/>
          </w:tcPr>
          <w:p w14:paraId="60D23DFE" w14:textId="77777777" w:rsidR="00A54A1D" w:rsidRDefault="0018752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Evaluation method</w:t>
            </w:r>
          </w:p>
        </w:tc>
      </w:tr>
      <w:tr w:rsidR="00A54A1D" w14:paraId="7BB3A280" w14:textId="77777777">
        <w:tc>
          <w:tcPr>
            <w:tcW w:w="486" w:type="dxa"/>
          </w:tcPr>
          <w:p w14:paraId="4D8638B8" w14:textId="77777777" w:rsidR="00A54A1D" w:rsidRDefault="0018752B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195" w:type="dxa"/>
          </w:tcPr>
          <w:p w14:paraId="313AC189" w14:textId="27ABAF14" w:rsidR="00A54A1D" w:rsidRDefault="0018752B">
            <w:pPr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Price for 1 hour of advice</w:t>
            </w:r>
          </w:p>
        </w:tc>
        <w:tc>
          <w:tcPr>
            <w:tcW w:w="1417" w:type="dxa"/>
          </w:tcPr>
          <w:p w14:paraId="361F84AE" w14:textId="77777777" w:rsidR="00A54A1D" w:rsidRDefault="0018752B">
            <w:pPr>
              <w:rPr>
                <w:rFonts w:cs="Calibri"/>
              </w:rPr>
            </w:pPr>
            <w:r>
              <w:rPr>
                <w:rFonts w:cs="Calibri"/>
              </w:rPr>
              <w:t>From 0 to 100</w:t>
            </w:r>
          </w:p>
        </w:tc>
        <w:tc>
          <w:tcPr>
            <w:tcW w:w="3964" w:type="dxa"/>
          </w:tcPr>
          <w:p w14:paraId="7231CDDE" w14:textId="77777777" w:rsidR="00A54A1D" w:rsidRDefault="0018752B">
            <w:pPr>
              <w:rPr>
                <w:rFonts w:cs="Calibri"/>
              </w:rPr>
            </w:pPr>
            <w:r>
              <w:rPr>
                <w:rFonts w:cs="Calibri"/>
              </w:rPr>
              <w:t>The ratio of the lowest offer price to the price of the examined offer multiplied by 100</w:t>
            </w:r>
          </w:p>
        </w:tc>
      </w:tr>
    </w:tbl>
    <w:p w14:paraId="0940FC4A" w14:textId="77777777" w:rsidR="00A54A1D" w:rsidRDefault="00A54A1D">
      <w:pPr>
        <w:spacing w:after="0" w:line="240" w:lineRule="auto"/>
        <w:jc w:val="both"/>
        <w:rPr>
          <w:rFonts w:cs="Calibri"/>
        </w:rPr>
      </w:pPr>
    </w:p>
    <w:p w14:paraId="44EA0A9E" w14:textId="790A6654" w:rsidR="00A54A1D" w:rsidRDefault="0018752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offer with the highest number of points and meeting the conditions specified in point 4 will be considered the best offer.</w:t>
      </w:r>
    </w:p>
    <w:p w14:paraId="4736EB62" w14:textId="77777777" w:rsidR="00A54A1D" w:rsidRDefault="00A54A1D">
      <w:pPr>
        <w:spacing w:after="0" w:line="240" w:lineRule="auto"/>
        <w:jc w:val="both"/>
        <w:rPr>
          <w:rFonts w:cs="Calibri"/>
        </w:rPr>
      </w:pPr>
    </w:p>
    <w:p w14:paraId="30913ABC" w14:textId="5CD58C60" w:rsidR="00A54A1D" w:rsidRDefault="0018752B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Other information</w:t>
      </w:r>
    </w:p>
    <w:p w14:paraId="0777217C" w14:textId="77777777" w:rsidR="00A54A1D" w:rsidRDefault="00A54A1D">
      <w:pPr>
        <w:pStyle w:val="Akapitzlist"/>
        <w:spacing w:after="0" w:line="240" w:lineRule="auto"/>
        <w:rPr>
          <w:rFonts w:cs="Calibri"/>
          <w:b/>
        </w:rPr>
      </w:pPr>
    </w:p>
    <w:p w14:paraId="58670647" w14:textId="782B661D" w:rsidR="00A54A1D" w:rsidRDefault="0018752B">
      <w:pPr>
        <w:pStyle w:val="Akapitzlist"/>
        <w:numPr>
          <w:ilvl w:val="0"/>
          <w:numId w:val="16"/>
        </w:numPr>
        <w:jc w:val="both"/>
      </w:pPr>
      <w:r>
        <w:t xml:space="preserve">The order is </w:t>
      </w:r>
      <w:r w:rsidR="002E455A">
        <w:t>realized</w:t>
      </w:r>
      <w:r>
        <w:t xml:space="preserve"> as part of a grant agreement under the Operational Program Intelligent Development 2014</w:t>
      </w:r>
      <w:r w:rsidR="002E455A">
        <w:t>-</w:t>
      </w:r>
      <w:r>
        <w:t>2020 priority axis III Support for innovation in enterprises, Actions 3</w:t>
      </w:r>
      <w:r w:rsidR="002E455A">
        <w:t>.</w:t>
      </w:r>
      <w:r>
        <w:t>3 Support for the promotion and internationalisation of innovative enterprises, Sub-measure 3</w:t>
      </w:r>
      <w:r w:rsidR="002E455A">
        <w:t>.</w:t>
      </w:r>
      <w:r>
        <w:t>3</w:t>
      </w:r>
      <w:r w:rsidR="002E455A">
        <w:t>.</w:t>
      </w:r>
      <w:r>
        <w:t>1 Polish Technological Bridges, agreement number G‐PMT/0213/2N/2018-JPN.</w:t>
      </w:r>
    </w:p>
    <w:p w14:paraId="4B5A7FAA" w14:textId="5F30256F" w:rsidR="00A54A1D" w:rsidRDefault="001875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Contact person who will answer any additional questions: Michał Nejbauer PhD, e-mail: </w:t>
      </w:r>
      <w:hyperlink r:id="rId10" w:history="1">
        <w:r>
          <w:rPr>
            <w:rStyle w:val="Hipercze"/>
            <w:rFonts w:cs="Calibri"/>
          </w:rPr>
          <w:t>nejbauer@fluence.pl</w:t>
        </w:r>
      </w:hyperlink>
    </w:p>
    <w:p w14:paraId="6B8F27D0" w14:textId="1D9E7F92" w:rsidR="00A54A1D" w:rsidRDefault="0018752B">
      <w:pPr>
        <w:pStyle w:val="Akapitzlist"/>
        <w:numPr>
          <w:ilvl w:val="0"/>
          <w:numId w:val="16"/>
        </w:numPr>
        <w:jc w:val="both"/>
      </w:pPr>
      <w:r>
        <w:t xml:space="preserve">The </w:t>
      </w:r>
      <w:r w:rsidR="002E455A">
        <w:t>Procurer</w:t>
      </w:r>
      <w:r>
        <w:t xml:space="preserve"> reserves the right to change the conditions set out in this RF</w:t>
      </w:r>
      <w:r w:rsidR="002E455A">
        <w:t>P</w:t>
      </w:r>
      <w:r>
        <w:t xml:space="preserve">, which will be notified via appropriate websites and </w:t>
      </w:r>
      <w:r w:rsidR="002E455A">
        <w:t xml:space="preserve">internet </w:t>
      </w:r>
      <w:r>
        <w:t xml:space="preserve">portals. In the event of such changes being made, the </w:t>
      </w:r>
      <w:r w:rsidR="002E455A">
        <w:t>Procurer</w:t>
      </w:r>
      <w:r>
        <w:t xml:space="preserve"> may set a different date for submission of </w:t>
      </w:r>
      <w:r w:rsidR="002E455A">
        <w:t>offers</w:t>
      </w:r>
      <w:r>
        <w:t>.</w:t>
      </w:r>
    </w:p>
    <w:p w14:paraId="59FED50F" w14:textId="3D6D5C39" w:rsidR="00A54A1D" w:rsidRDefault="0018752B">
      <w:pPr>
        <w:pStyle w:val="Akapitzlist"/>
        <w:numPr>
          <w:ilvl w:val="0"/>
          <w:numId w:val="16"/>
        </w:numPr>
        <w:jc w:val="both"/>
      </w:pPr>
      <w:r>
        <w:t xml:space="preserve">The </w:t>
      </w:r>
      <w:r w:rsidR="002E455A">
        <w:t>Procurer</w:t>
      </w:r>
      <w:r>
        <w:t xml:space="preserve"> also reserves the right to </w:t>
      </w:r>
      <w:r w:rsidR="002E455A">
        <w:t>cancel</w:t>
      </w:r>
      <w:r>
        <w:t xml:space="preserve"> or close the </w:t>
      </w:r>
      <w:r w:rsidR="002E455A">
        <w:t>proceedings</w:t>
      </w:r>
      <w:r>
        <w:t xml:space="preserve"> at any stage without giving a reason.</w:t>
      </w:r>
    </w:p>
    <w:p w14:paraId="5AE842E6" w14:textId="1411973F" w:rsidR="00A54A1D" w:rsidRDefault="00A54A1D"/>
    <w:sectPr w:rsidR="00A54A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81F4B" w14:textId="77777777" w:rsidR="005B27E9" w:rsidRDefault="005B27E9">
      <w:pPr>
        <w:spacing w:after="0" w:line="240" w:lineRule="auto"/>
      </w:pPr>
      <w:r>
        <w:separator/>
      </w:r>
    </w:p>
  </w:endnote>
  <w:endnote w:type="continuationSeparator" w:id="0">
    <w:p w14:paraId="4DA622A8" w14:textId="77777777" w:rsidR="005B27E9" w:rsidRDefault="005B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047327"/>
      <w:docPartObj>
        <w:docPartGallery w:val="Page Numbers (Bottom of Page)"/>
        <w:docPartUnique/>
      </w:docPartObj>
    </w:sdtPr>
    <w:sdtEndPr/>
    <w:sdtContent>
      <w:p w14:paraId="4349B4B4" w14:textId="77777777" w:rsidR="00A54A1D" w:rsidRDefault="0018752B">
        <w:pPr>
          <w:pStyle w:val="Stopka"/>
          <w:jc w:val="right"/>
        </w:pPr>
        <w:r>
          <w:rPr>
            <w:rFonts w:eastAsiaTheme="majorEastAsia" w:cstheme="majorBidi"/>
            <w:sz w:val="18"/>
          </w:rPr>
          <w:t xml:space="preserve">p. </w:t>
        </w:r>
        <w:r>
          <w:rPr>
            <w:rFonts w:eastAsiaTheme="majorEastAsia" w:cstheme="majorBidi"/>
            <w:sz w:val="18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DA62518" w14:textId="77777777" w:rsidR="00A54A1D" w:rsidRDefault="00A5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F91D" w14:textId="77777777" w:rsidR="005B27E9" w:rsidRDefault="005B27E9">
      <w:pPr>
        <w:spacing w:after="0" w:line="240" w:lineRule="auto"/>
      </w:pPr>
      <w:r>
        <w:separator/>
      </w:r>
    </w:p>
  </w:footnote>
  <w:footnote w:type="continuationSeparator" w:id="0">
    <w:p w14:paraId="4E13CBE4" w14:textId="77777777" w:rsidR="005B27E9" w:rsidRDefault="005B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F210" w14:textId="3E25958F" w:rsidR="00A54A1D" w:rsidRDefault="0018752B">
    <w:pPr>
      <w:pStyle w:val="Nagwek"/>
      <w:jc w:val="center"/>
    </w:pPr>
    <w:r>
      <w:rPr>
        <w:noProof/>
      </w:rPr>
      <w:drawing>
        <wp:inline distT="0" distB="0" distL="0" distR="0" wp14:anchorId="42E75887" wp14:editId="7973CAE1">
          <wp:extent cx="5760720" cy="502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A3005" w14:textId="77777777" w:rsidR="00A54A1D" w:rsidRDefault="00A54A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056"/>
    <w:multiLevelType w:val="hybridMultilevel"/>
    <w:tmpl w:val="92D2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F72"/>
    <w:multiLevelType w:val="hybridMultilevel"/>
    <w:tmpl w:val="9324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18"/>
    <w:multiLevelType w:val="multilevel"/>
    <w:tmpl w:val="675CD4E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637555"/>
    <w:multiLevelType w:val="multilevel"/>
    <w:tmpl w:val="ECF8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2244E4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F629E5"/>
    <w:multiLevelType w:val="multilevel"/>
    <w:tmpl w:val="E768140A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3136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986B50"/>
    <w:multiLevelType w:val="multilevel"/>
    <w:tmpl w:val="5054F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66A4"/>
    <w:multiLevelType w:val="multilevel"/>
    <w:tmpl w:val="EE62A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7B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D677C6"/>
    <w:multiLevelType w:val="hybridMultilevel"/>
    <w:tmpl w:val="93CA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D4E21"/>
    <w:multiLevelType w:val="multilevel"/>
    <w:tmpl w:val="13703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86E12"/>
    <w:multiLevelType w:val="hybridMultilevel"/>
    <w:tmpl w:val="EAD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B3FE0"/>
    <w:multiLevelType w:val="multilevel"/>
    <w:tmpl w:val="690A3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992EB1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FA"/>
    <w:rsid w:val="00031A60"/>
    <w:rsid w:val="0007268B"/>
    <w:rsid w:val="000E1E93"/>
    <w:rsid w:val="000E24A9"/>
    <w:rsid w:val="00127500"/>
    <w:rsid w:val="001315BA"/>
    <w:rsid w:val="00185F7C"/>
    <w:rsid w:val="0018752B"/>
    <w:rsid w:val="0025608B"/>
    <w:rsid w:val="00270B59"/>
    <w:rsid w:val="002D7229"/>
    <w:rsid w:val="002E455A"/>
    <w:rsid w:val="003210B5"/>
    <w:rsid w:val="00322CCC"/>
    <w:rsid w:val="003545CB"/>
    <w:rsid w:val="00382831"/>
    <w:rsid w:val="003C043A"/>
    <w:rsid w:val="00467F40"/>
    <w:rsid w:val="004B43C7"/>
    <w:rsid w:val="004E7425"/>
    <w:rsid w:val="005B27E9"/>
    <w:rsid w:val="005F6D80"/>
    <w:rsid w:val="006A0488"/>
    <w:rsid w:val="006F1625"/>
    <w:rsid w:val="006F4601"/>
    <w:rsid w:val="00710460"/>
    <w:rsid w:val="00782E6D"/>
    <w:rsid w:val="007D26FA"/>
    <w:rsid w:val="007D61A8"/>
    <w:rsid w:val="008B1ECD"/>
    <w:rsid w:val="008B22A7"/>
    <w:rsid w:val="008C2736"/>
    <w:rsid w:val="009A6910"/>
    <w:rsid w:val="009E31FB"/>
    <w:rsid w:val="00A30511"/>
    <w:rsid w:val="00A54A1D"/>
    <w:rsid w:val="00AC233C"/>
    <w:rsid w:val="00BC2AD4"/>
    <w:rsid w:val="00C108FA"/>
    <w:rsid w:val="00C36D07"/>
    <w:rsid w:val="00C61F28"/>
    <w:rsid w:val="00D22BF6"/>
    <w:rsid w:val="00D405E7"/>
    <w:rsid w:val="00D8744C"/>
    <w:rsid w:val="00E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7B7A1"/>
  <w15:docId w15:val="{FBD41B5F-2F43-4442-AA5B-0D53EDC1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0C7A03"/>
  </w:style>
  <w:style w:type="character" w:customStyle="1" w:styleId="StopkaZnak">
    <w:name w:val="Stopka Znak"/>
    <w:basedOn w:val="Domylnaczcionkaakapitu"/>
    <w:link w:val="Stopka"/>
    <w:uiPriority w:val="99"/>
    <w:qFormat/>
    <w:rsid w:val="000C7A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A0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25B6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55C4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455C4"/>
    <w:rPr>
      <w:vertAlign w:val="superscript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Nagwek">
    <w:name w:val="header"/>
    <w:basedOn w:val="Normalny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7A03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pacing w:after="0"/>
    </w:pPr>
  </w:style>
  <w:style w:type="paragraph" w:customStyle="1" w:styleId="Nagwektabeli">
    <w:name w:val="Nagłówek tabeli"/>
    <w:basedOn w:val="Zawartotabeli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455C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1F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E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jbauer@fluen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fluen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85C7-B9D5-4373-BD80-68CD615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Michał N</cp:lastModifiedBy>
  <cp:revision>12</cp:revision>
  <cp:lastPrinted>2018-09-10T13:11:00Z</cp:lastPrinted>
  <dcterms:created xsi:type="dcterms:W3CDTF">2019-11-25T16:34:00Z</dcterms:created>
  <dcterms:modified xsi:type="dcterms:W3CDTF">2019-11-26T16:37:00Z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